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71339A">
        <w:rPr>
          <w:rFonts w:ascii="Verdana" w:hAnsi="Verdana"/>
          <w:b/>
          <w:sz w:val="22"/>
          <w:szCs w:val="22"/>
          <w:u w:val="single"/>
        </w:rPr>
        <w:t>Comunidad Campesina de Santa Bárbara</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0071339A">
        <w:rPr>
          <w:rFonts w:ascii="Verdana" w:hAnsi="Verdana"/>
          <w:b/>
          <w:sz w:val="22"/>
          <w:szCs w:val="22"/>
          <w:u w:val="single"/>
        </w:rPr>
        <w:t xml:space="preserve"> Perú</w:t>
      </w:r>
      <w:r w:rsidRPr="00DC15CE">
        <w:rPr>
          <w:rFonts w:ascii="Verdana" w:hAnsi="Verdana"/>
          <w:b/>
          <w:sz w:val="22"/>
          <w:szCs w:val="22"/>
          <w:u w:val="single"/>
        </w:rPr>
        <w:t>: reparaciones declaradas cumplidas</w:t>
      </w:r>
      <w:r>
        <w:rPr>
          <w:rFonts w:ascii="Verdana" w:hAnsi="Verdana"/>
          <w:b/>
          <w:sz w:val="22"/>
          <w:szCs w:val="22"/>
          <w:u w:val="single"/>
        </w:rPr>
        <w:t xml:space="preserve"> </w:t>
      </w:r>
    </w:p>
    <w:p w:rsidR="00A73E79" w:rsidRDefault="00A73E79" w:rsidP="00A73E79"/>
    <w:p w:rsidR="00A73E79" w:rsidRPr="003009CE" w:rsidRDefault="00A73E79" w:rsidP="00A73E79">
      <w:pPr>
        <w:rPr>
          <w:rFonts w:ascii="Verdana" w:hAnsi="Verdana"/>
          <w:b/>
          <w:u w:val="single"/>
        </w:rPr>
      </w:pPr>
    </w:p>
    <w:p w:rsidR="00B94606" w:rsidRDefault="00CB4D9C" w:rsidP="00B94606">
      <w:pPr>
        <w:rPr>
          <w:rFonts w:ascii="Verdana" w:hAnsi="Verdana"/>
          <w:b/>
          <w:u w:val="single"/>
        </w:rPr>
      </w:pPr>
      <w:r w:rsidRPr="003009CE">
        <w:rPr>
          <w:rFonts w:ascii="Verdana" w:hAnsi="Verdana"/>
          <w:b/>
          <w:u w:val="single"/>
        </w:rPr>
        <w:t>Cumplimiento total:</w:t>
      </w:r>
    </w:p>
    <w:p w:rsidR="00B94606" w:rsidRDefault="00B94606" w:rsidP="00B94606">
      <w:pPr>
        <w:rPr>
          <w:rFonts w:ascii="Verdana" w:hAnsi="Verdana"/>
        </w:rPr>
      </w:pPr>
    </w:p>
    <w:p w:rsidR="008714D8" w:rsidRPr="00E70614" w:rsidRDefault="00B94606" w:rsidP="00B94606">
      <w:pPr>
        <w:pStyle w:val="Prrafodelista"/>
        <w:numPr>
          <w:ilvl w:val="0"/>
          <w:numId w:val="5"/>
        </w:numPr>
        <w:rPr>
          <w:rFonts w:ascii="Verdana" w:hAnsi="Verdana"/>
          <w:b/>
          <w:u w:val="single"/>
        </w:rPr>
      </w:pPr>
      <w:r>
        <w:rPr>
          <w:rFonts w:ascii="Verdana" w:hAnsi="Verdana"/>
        </w:rPr>
        <w:t>R</w:t>
      </w:r>
      <w:r w:rsidR="002F2F8B">
        <w:rPr>
          <w:rFonts w:ascii="Verdana" w:hAnsi="Verdana"/>
        </w:rPr>
        <w:t>eintegro</w:t>
      </w:r>
      <w:r w:rsidR="008714D8" w:rsidRPr="00B94606">
        <w:rPr>
          <w:rFonts w:ascii="Verdana" w:hAnsi="Verdana"/>
        </w:rPr>
        <w:t xml:space="preserve"> al Fondo de Asistencia Legal de Víctimas de la Corte Interamericana de Derechos</w:t>
      </w:r>
      <w:r w:rsidR="002F2F8B">
        <w:rPr>
          <w:rFonts w:ascii="Verdana" w:hAnsi="Verdana"/>
        </w:rPr>
        <w:t xml:space="preserve"> Humanos.</w:t>
      </w:r>
    </w:p>
    <w:p w:rsidR="00E70614" w:rsidRPr="00B94606" w:rsidRDefault="00E70614" w:rsidP="00E70614">
      <w:pPr>
        <w:pStyle w:val="Prrafodelista"/>
        <w:rPr>
          <w:rFonts w:ascii="Verdana" w:hAnsi="Verdana"/>
          <w:b/>
          <w:u w:val="single"/>
        </w:rPr>
      </w:pPr>
    </w:p>
    <w:p w:rsidR="00B94606" w:rsidRPr="00B94606" w:rsidRDefault="00B94606" w:rsidP="00B94606">
      <w:pPr>
        <w:pStyle w:val="Prrafodelista"/>
        <w:numPr>
          <w:ilvl w:val="0"/>
          <w:numId w:val="5"/>
        </w:numPr>
        <w:rPr>
          <w:rFonts w:ascii="Verdana" w:hAnsi="Verdana"/>
          <w:b/>
          <w:u w:val="single"/>
        </w:rPr>
      </w:pPr>
      <w:r>
        <w:rPr>
          <w:rFonts w:ascii="Verdana" w:hAnsi="Verdana"/>
        </w:rPr>
        <w:t>Publicación y difusión de la Sentencia y su resumen oficial.</w:t>
      </w:r>
    </w:p>
    <w:p w:rsidR="008714D8" w:rsidRDefault="008714D8" w:rsidP="008714D8">
      <w:pPr>
        <w:pStyle w:val="Sangradetindependiente"/>
        <w:rPr>
          <w:rFonts w:ascii="Verdana" w:hAnsi="Verdana"/>
          <w:sz w:val="20"/>
        </w:rPr>
      </w:pPr>
    </w:p>
    <w:p w:rsidR="00CB4D9C" w:rsidRPr="003009CE" w:rsidRDefault="00CB4D9C" w:rsidP="003009CE">
      <w:pPr>
        <w:pStyle w:val="Sangradetindependiente"/>
        <w:rPr>
          <w:rFonts w:ascii="Verdana" w:hAnsi="Verdana"/>
          <w:b/>
          <w:sz w:val="20"/>
          <w:u w:val="single"/>
        </w:rPr>
      </w:pPr>
      <w:r w:rsidRPr="003009CE">
        <w:rPr>
          <w:rFonts w:ascii="Verdana" w:hAnsi="Verdana"/>
          <w:b/>
          <w:sz w:val="20"/>
          <w:u w:val="single"/>
        </w:rPr>
        <w:t>Cumplimiento parcial</w:t>
      </w:r>
    </w:p>
    <w:p w:rsidR="00A73E79" w:rsidRDefault="00A73E79" w:rsidP="0092283F">
      <w:pPr>
        <w:rPr>
          <w:rFonts w:ascii="Verdana" w:hAnsi="Verdana"/>
        </w:rPr>
      </w:pPr>
    </w:p>
    <w:p w:rsidR="0092283F" w:rsidRDefault="0092283F" w:rsidP="002F2F8B">
      <w:pPr>
        <w:pStyle w:val="Prrafodelista"/>
        <w:numPr>
          <w:ilvl w:val="0"/>
          <w:numId w:val="6"/>
        </w:numPr>
        <w:jc w:val="both"/>
        <w:rPr>
          <w:rFonts w:ascii="Verdana" w:hAnsi="Verdana"/>
        </w:rPr>
      </w:pPr>
      <w:r>
        <w:rPr>
          <w:rFonts w:ascii="Verdana" w:hAnsi="Verdana"/>
        </w:rPr>
        <w:t>I</w:t>
      </w:r>
      <w:r w:rsidRPr="0092283F">
        <w:rPr>
          <w:rFonts w:ascii="Verdana" w:hAnsi="Verdana"/>
        </w:rPr>
        <w:t>nvestigar los hechos, identificar, juzgar y, en su caso, sancionar a los responsables</w:t>
      </w:r>
    </w:p>
    <w:p w:rsidR="0092283F" w:rsidRDefault="0092283F" w:rsidP="0092283F">
      <w:pPr>
        <w:pStyle w:val="Prrafodelista"/>
        <w:rPr>
          <w:rFonts w:ascii="Verdana" w:hAnsi="Verdana"/>
        </w:rPr>
      </w:pPr>
    </w:p>
    <w:p w:rsidR="00845A39" w:rsidRDefault="00845A39" w:rsidP="00146847">
      <w:pPr>
        <w:pStyle w:val="Prrafodelista"/>
        <w:jc w:val="both"/>
        <w:rPr>
          <w:rFonts w:ascii="Verdana" w:hAnsi="Verdana"/>
        </w:rPr>
      </w:pPr>
      <w:r w:rsidRPr="00845A39">
        <w:rPr>
          <w:rFonts w:ascii="Verdana" w:hAnsi="Verdana"/>
        </w:rPr>
        <w:t>En el Considerando 22 de la Resolución de la C</w:t>
      </w:r>
      <w:r>
        <w:rPr>
          <w:rFonts w:ascii="Verdana" w:hAnsi="Verdana"/>
        </w:rPr>
        <w:t>orte de 21 de junio de 2021 se explica lo</w:t>
      </w:r>
      <w:r w:rsidR="00302701">
        <w:rPr>
          <w:rFonts w:ascii="Verdana" w:hAnsi="Verdana"/>
        </w:rPr>
        <w:t xml:space="preserve"> que continúa pendiente de cumplimiento respecto a la presente medida</w:t>
      </w:r>
      <w:r w:rsidRPr="00845A39">
        <w:rPr>
          <w:rFonts w:ascii="Verdana" w:hAnsi="Verdana"/>
        </w:rPr>
        <w:t xml:space="preserve"> de  reparación:</w:t>
      </w:r>
      <w:bookmarkStart w:id="0" w:name="_GoBack"/>
      <w:bookmarkEnd w:id="0"/>
    </w:p>
    <w:p w:rsidR="00845A39" w:rsidRDefault="00845A39" w:rsidP="00146847">
      <w:pPr>
        <w:pStyle w:val="Prrafodelista"/>
        <w:jc w:val="both"/>
        <w:rPr>
          <w:rFonts w:ascii="Verdana" w:hAnsi="Verdana"/>
        </w:rPr>
      </w:pPr>
    </w:p>
    <w:p w:rsidR="00AE1E1F" w:rsidRPr="00845A39" w:rsidRDefault="00845A39" w:rsidP="00845A39">
      <w:pPr>
        <w:pStyle w:val="Prrafodelista"/>
        <w:ind w:left="1134"/>
        <w:jc w:val="both"/>
        <w:rPr>
          <w:rFonts w:ascii="Verdana" w:hAnsi="Verdana"/>
          <w:sz w:val="16"/>
        </w:rPr>
      </w:pPr>
      <w:r w:rsidRPr="00845A39">
        <w:rPr>
          <w:rFonts w:ascii="Verdana" w:hAnsi="Verdana"/>
          <w:sz w:val="16"/>
        </w:rPr>
        <w:t>22. En conclusión, teniendo en cuenta que han sido emi</w:t>
      </w:r>
      <w:r w:rsidRPr="00845A39">
        <w:rPr>
          <w:rFonts w:ascii="Verdana" w:hAnsi="Verdana"/>
          <w:sz w:val="16"/>
        </w:rPr>
        <w:t xml:space="preserve">tidas sentencias que determinan </w:t>
      </w:r>
      <w:r w:rsidRPr="00845A39">
        <w:rPr>
          <w:rFonts w:ascii="Verdana" w:hAnsi="Verdana"/>
          <w:sz w:val="16"/>
        </w:rPr>
        <w:t>la responsabilidad penal de dos militares que participaron en la comisión de la masacre y que</w:t>
      </w:r>
      <w:r w:rsidRPr="00845A39">
        <w:rPr>
          <w:rFonts w:ascii="Verdana" w:hAnsi="Verdana"/>
          <w:sz w:val="16"/>
        </w:rPr>
        <w:t xml:space="preserve"> </w:t>
      </w:r>
      <w:r w:rsidRPr="00845A39">
        <w:rPr>
          <w:rFonts w:ascii="Verdana" w:hAnsi="Verdana"/>
          <w:sz w:val="16"/>
        </w:rPr>
        <w:t>la de uno de ellos (quien estaba al mando de la patrulla militar) se encuentra firme, así como</w:t>
      </w:r>
      <w:r w:rsidRPr="00845A39">
        <w:rPr>
          <w:rFonts w:ascii="Verdana" w:hAnsi="Verdana"/>
          <w:sz w:val="16"/>
        </w:rPr>
        <w:t xml:space="preserve"> </w:t>
      </w:r>
      <w:r w:rsidRPr="00845A39">
        <w:rPr>
          <w:rFonts w:ascii="Verdana" w:hAnsi="Verdana"/>
          <w:sz w:val="16"/>
        </w:rPr>
        <w:t>que se encuentra abierta una investigación penal respecto a otros posibles responsables de</w:t>
      </w:r>
      <w:r w:rsidRPr="00845A39">
        <w:rPr>
          <w:rFonts w:ascii="Verdana" w:hAnsi="Verdana"/>
          <w:sz w:val="16"/>
        </w:rPr>
        <w:t xml:space="preserve"> </w:t>
      </w:r>
      <w:r w:rsidRPr="00845A39">
        <w:rPr>
          <w:rFonts w:ascii="Verdana" w:hAnsi="Verdana"/>
          <w:sz w:val="16"/>
        </w:rPr>
        <w:t>los hechos, la Corte considera que el Estado ha dado cumplimiento parcial a la medida de</w:t>
      </w:r>
      <w:r w:rsidRPr="00845A39">
        <w:rPr>
          <w:rFonts w:ascii="Verdana" w:hAnsi="Verdana"/>
          <w:sz w:val="16"/>
        </w:rPr>
        <w:t xml:space="preserve"> </w:t>
      </w:r>
      <w:r w:rsidRPr="00845A39">
        <w:rPr>
          <w:rFonts w:ascii="Verdana" w:hAnsi="Verdana"/>
          <w:sz w:val="16"/>
        </w:rPr>
        <w:t>reparación relativa a llevar a cabo las investigaciones amplias, sistemáticas y minuciosas que</w:t>
      </w:r>
      <w:r w:rsidRPr="00845A39">
        <w:rPr>
          <w:rFonts w:ascii="Verdana" w:hAnsi="Verdana"/>
          <w:sz w:val="16"/>
        </w:rPr>
        <w:t xml:space="preserve"> </w:t>
      </w:r>
      <w:r w:rsidRPr="00845A39">
        <w:rPr>
          <w:rFonts w:ascii="Verdana" w:hAnsi="Verdana"/>
          <w:sz w:val="16"/>
        </w:rPr>
        <w:t>sean necesarias para determinar, juzgar y, en su caso, sancionar a los responsables de las</w:t>
      </w:r>
      <w:r w:rsidRPr="00845A39">
        <w:rPr>
          <w:rFonts w:ascii="Verdana" w:hAnsi="Verdana"/>
          <w:sz w:val="16"/>
        </w:rPr>
        <w:t xml:space="preserve"> violaciones </w:t>
      </w:r>
      <w:r w:rsidRPr="00845A39">
        <w:rPr>
          <w:rFonts w:ascii="Verdana" w:hAnsi="Verdana"/>
          <w:sz w:val="16"/>
        </w:rPr>
        <w:t>declaradas en la Sentencia. El Estado debe conti</w:t>
      </w:r>
      <w:r w:rsidRPr="00845A39">
        <w:rPr>
          <w:rFonts w:ascii="Verdana" w:hAnsi="Verdana"/>
          <w:sz w:val="16"/>
        </w:rPr>
        <w:t xml:space="preserve">nuar dando cumplimiento a dicha </w:t>
      </w:r>
      <w:r w:rsidRPr="00845A39">
        <w:rPr>
          <w:rFonts w:ascii="Verdana" w:hAnsi="Verdana"/>
          <w:sz w:val="16"/>
        </w:rPr>
        <w:t>obligación de investigar, juzgar y, en su caso, sancionar observando todos los parámetros de</w:t>
      </w:r>
      <w:r w:rsidRPr="00845A39">
        <w:rPr>
          <w:rFonts w:ascii="Verdana" w:hAnsi="Verdana"/>
          <w:sz w:val="16"/>
        </w:rPr>
        <w:t xml:space="preserve"> </w:t>
      </w:r>
      <w:r w:rsidRPr="00845A39">
        <w:rPr>
          <w:rFonts w:ascii="Verdana" w:hAnsi="Verdana"/>
          <w:sz w:val="16"/>
        </w:rPr>
        <w:t>debida diligencia, respecto a lo cual este Tribunal destaca que en su Sentencia se tuvo por</w:t>
      </w:r>
      <w:r w:rsidRPr="00845A39">
        <w:rPr>
          <w:rFonts w:ascii="Verdana" w:hAnsi="Verdana"/>
          <w:sz w:val="16"/>
        </w:rPr>
        <w:t xml:space="preserve"> </w:t>
      </w:r>
      <w:r w:rsidRPr="00845A39">
        <w:rPr>
          <w:rFonts w:ascii="Verdana" w:hAnsi="Verdana"/>
          <w:sz w:val="16"/>
        </w:rPr>
        <w:t>probado que fue un alto número de militares los que participaron en el operativo relacionado</w:t>
      </w:r>
      <w:r w:rsidRPr="00845A39">
        <w:rPr>
          <w:rFonts w:ascii="Verdana" w:hAnsi="Verdana"/>
          <w:sz w:val="16"/>
        </w:rPr>
        <w:t xml:space="preserve"> </w:t>
      </w:r>
      <w:r w:rsidRPr="00845A39">
        <w:rPr>
          <w:rFonts w:ascii="Verdana" w:hAnsi="Verdana"/>
          <w:sz w:val="16"/>
        </w:rPr>
        <w:t>con la masacre y que las violaciones se perpetraron en perjuicio de 15 víctimas, entre ellas</w:t>
      </w:r>
      <w:r w:rsidRPr="00845A39">
        <w:rPr>
          <w:rFonts w:ascii="Verdana" w:hAnsi="Verdana"/>
          <w:sz w:val="16"/>
        </w:rPr>
        <w:t xml:space="preserve"> </w:t>
      </w:r>
      <w:r w:rsidRPr="00845A39">
        <w:rPr>
          <w:rFonts w:ascii="Verdana" w:hAnsi="Verdana"/>
          <w:sz w:val="16"/>
        </w:rPr>
        <w:t>niños, niñas y una mujer embarazada. Asimismo, debe aportar la información actualizada</w:t>
      </w:r>
      <w:r w:rsidRPr="00845A39">
        <w:rPr>
          <w:rFonts w:ascii="Verdana" w:hAnsi="Verdana"/>
          <w:sz w:val="16"/>
        </w:rPr>
        <w:t xml:space="preserve"> </w:t>
      </w:r>
      <w:r w:rsidRPr="00845A39">
        <w:rPr>
          <w:rFonts w:ascii="Verdana" w:hAnsi="Verdana"/>
          <w:sz w:val="16"/>
        </w:rPr>
        <w:t>requerida en los Considerandos 14.b, 16, 17 y 19.</w:t>
      </w:r>
    </w:p>
    <w:p w:rsidR="0092283F" w:rsidRDefault="0092283F" w:rsidP="0092283F">
      <w:pPr>
        <w:pStyle w:val="Prrafodelista"/>
        <w:rPr>
          <w:rFonts w:ascii="Verdana" w:hAnsi="Verdana"/>
        </w:rPr>
      </w:pPr>
    </w:p>
    <w:p w:rsidR="0092283F" w:rsidRDefault="0092283F" w:rsidP="00A01727">
      <w:pPr>
        <w:pStyle w:val="Prrafodelista"/>
        <w:numPr>
          <w:ilvl w:val="0"/>
          <w:numId w:val="6"/>
        </w:numPr>
        <w:jc w:val="both"/>
        <w:rPr>
          <w:rFonts w:ascii="Verdana" w:hAnsi="Verdana"/>
        </w:rPr>
      </w:pPr>
      <w:r w:rsidRPr="007828CB">
        <w:rPr>
          <w:rFonts w:ascii="Verdana" w:hAnsi="Verdana"/>
        </w:rPr>
        <w:t xml:space="preserve">Buscar, exhumar e identificar los restos humanos localizados en la mina ‘Misteriosa’ o </w:t>
      </w:r>
      <w:r w:rsidR="007828CB">
        <w:rPr>
          <w:rFonts w:ascii="Verdana" w:hAnsi="Verdana"/>
        </w:rPr>
        <w:t>‘</w:t>
      </w:r>
      <w:proofErr w:type="spellStart"/>
      <w:r w:rsidR="007828CB">
        <w:rPr>
          <w:rFonts w:ascii="Verdana" w:hAnsi="Verdana"/>
        </w:rPr>
        <w:t>Vallarón</w:t>
      </w:r>
      <w:proofErr w:type="spellEnd"/>
      <w:r w:rsidR="007828CB">
        <w:rPr>
          <w:rFonts w:ascii="Verdana" w:hAnsi="Verdana"/>
        </w:rPr>
        <w:t>’.</w:t>
      </w:r>
    </w:p>
    <w:p w:rsidR="007828CB" w:rsidRPr="007828CB" w:rsidRDefault="007828CB" w:rsidP="007828CB">
      <w:pPr>
        <w:pStyle w:val="Prrafodelista"/>
        <w:jc w:val="both"/>
        <w:rPr>
          <w:rFonts w:ascii="Verdana" w:hAnsi="Verdana"/>
        </w:rPr>
      </w:pPr>
    </w:p>
    <w:p w:rsidR="00A73E79" w:rsidRDefault="00A16C6F" w:rsidP="0017407A">
      <w:pPr>
        <w:pStyle w:val="Prrafodelista"/>
        <w:jc w:val="both"/>
        <w:rPr>
          <w:rFonts w:ascii="Verdana" w:hAnsi="Verdana"/>
        </w:rPr>
      </w:pPr>
      <w:r>
        <w:rPr>
          <w:rFonts w:ascii="Verdana" w:hAnsi="Verdana"/>
        </w:rPr>
        <w:t>En los Considerandos 30</w:t>
      </w:r>
      <w:r w:rsidR="00302701">
        <w:rPr>
          <w:rFonts w:ascii="Verdana" w:hAnsi="Verdana"/>
        </w:rPr>
        <w:t xml:space="preserve"> a 32</w:t>
      </w:r>
      <w:r>
        <w:rPr>
          <w:rFonts w:ascii="Verdana" w:hAnsi="Verdana"/>
        </w:rPr>
        <w:t xml:space="preserve"> y 34 </w:t>
      </w:r>
      <w:r w:rsidR="0092283F" w:rsidRPr="0092283F">
        <w:rPr>
          <w:rFonts w:ascii="Verdana" w:hAnsi="Verdana"/>
        </w:rPr>
        <w:t>de la Resolución de supervisión de cumplimiento de Sentencia de</w:t>
      </w:r>
      <w:r w:rsidR="0092283F">
        <w:rPr>
          <w:rFonts w:ascii="Verdana" w:hAnsi="Verdana"/>
        </w:rPr>
        <w:t xml:space="preserve"> 21 de junio de </w:t>
      </w:r>
      <w:r w:rsidR="0092283F" w:rsidRPr="00845A39">
        <w:rPr>
          <w:rFonts w:ascii="Verdana" w:hAnsi="Verdana"/>
        </w:rPr>
        <w:t>2021</w:t>
      </w:r>
      <w:r w:rsidR="0017407A" w:rsidRPr="00845A39">
        <w:rPr>
          <w:rFonts w:ascii="Verdana" w:hAnsi="Verdana"/>
        </w:rPr>
        <w:t xml:space="preserve"> </w:t>
      </w:r>
      <w:r w:rsidR="00845A39">
        <w:rPr>
          <w:rFonts w:ascii="Verdana" w:hAnsi="Verdana"/>
        </w:rPr>
        <w:t>se identificaron las</w:t>
      </w:r>
      <w:r w:rsidR="00302701">
        <w:rPr>
          <w:rFonts w:ascii="Verdana" w:hAnsi="Verdana"/>
        </w:rPr>
        <w:t xml:space="preserve"> razones</w:t>
      </w:r>
      <w:r w:rsidR="00845A39" w:rsidRPr="00845A39">
        <w:rPr>
          <w:rFonts w:ascii="Verdana" w:hAnsi="Verdana"/>
        </w:rPr>
        <w:t xml:space="preserve"> </w:t>
      </w:r>
      <w:proofErr w:type="gramStart"/>
      <w:r w:rsidR="00845A39" w:rsidRPr="00845A39">
        <w:rPr>
          <w:rFonts w:ascii="Verdana" w:hAnsi="Verdana"/>
        </w:rPr>
        <w:t>por  las</w:t>
      </w:r>
      <w:proofErr w:type="gramEnd"/>
      <w:r w:rsidR="00845A39" w:rsidRPr="00845A39">
        <w:rPr>
          <w:rFonts w:ascii="Verdana" w:hAnsi="Verdana"/>
        </w:rPr>
        <w:t xml:space="preserve">  que  continúa  pendiente  el  cumplimiento  de  la  presente medida  de  reparación:</w:t>
      </w:r>
    </w:p>
    <w:p w:rsidR="00845A39" w:rsidRPr="00302701" w:rsidRDefault="00845A39" w:rsidP="00302701">
      <w:pPr>
        <w:pStyle w:val="Prrafodelista"/>
        <w:jc w:val="both"/>
        <w:rPr>
          <w:rFonts w:ascii="Verdana" w:hAnsi="Verdana"/>
          <w:sz w:val="16"/>
          <w:szCs w:val="16"/>
        </w:rPr>
      </w:pPr>
    </w:p>
    <w:p w:rsidR="00302701" w:rsidRPr="00302701" w:rsidRDefault="00302701" w:rsidP="00302701">
      <w:pPr>
        <w:pStyle w:val="Prrafodelista"/>
        <w:ind w:left="1134"/>
        <w:jc w:val="both"/>
        <w:rPr>
          <w:rFonts w:ascii="Verdana" w:hAnsi="Verdana"/>
          <w:sz w:val="16"/>
          <w:szCs w:val="16"/>
        </w:rPr>
      </w:pPr>
      <w:r w:rsidRPr="00302701">
        <w:rPr>
          <w:rFonts w:ascii="Verdana" w:hAnsi="Verdana"/>
          <w:sz w:val="16"/>
          <w:szCs w:val="16"/>
        </w:rPr>
        <w:t xml:space="preserve">30. Respecto a la objeción de los representantes relativa a </w:t>
      </w:r>
      <w:r>
        <w:rPr>
          <w:rFonts w:ascii="Verdana" w:hAnsi="Verdana"/>
          <w:sz w:val="16"/>
          <w:szCs w:val="16"/>
        </w:rPr>
        <w:t xml:space="preserve">las alegadas inconsistencias en </w:t>
      </w:r>
      <w:r w:rsidRPr="00302701">
        <w:rPr>
          <w:rFonts w:ascii="Verdana" w:hAnsi="Verdana"/>
          <w:sz w:val="16"/>
          <w:szCs w:val="16"/>
        </w:rPr>
        <w:t>el peritaje elaborado en el 2020 por la Unidad Médico Legal II de Ayacucho (supra</w:t>
      </w:r>
      <w:r>
        <w:rPr>
          <w:rFonts w:ascii="Verdana" w:hAnsi="Verdana"/>
          <w:sz w:val="16"/>
          <w:szCs w:val="16"/>
        </w:rPr>
        <w:t xml:space="preserve"> </w:t>
      </w:r>
      <w:r w:rsidRPr="00302701">
        <w:rPr>
          <w:rFonts w:ascii="Verdana" w:hAnsi="Verdana"/>
          <w:sz w:val="16"/>
          <w:szCs w:val="16"/>
        </w:rPr>
        <w:t>Considerandos 28.f y 29), la Corte destaca que, durante la audiencia de supervisión de</w:t>
      </w:r>
      <w:r>
        <w:rPr>
          <w:rFonts w:ascii="Verdana" w:hAnsi="Verdana"/>
          <w:sz w:val="16"/>
          <w:szCs w:val="16"/>
        </w:rPr>
        <w:t xml:space="preserve"> </w:t>
      </w:r>
      <w:r w:rsidRPr="00302701">
        <w:rPr>
          <w:rFonts w:ascii="Verdana" w:hAnsi="Verdana"/>
          <w:sz w:val="16"/>
          <w:szCs w:val="16"/>
        </w:rPr>
        <w:t>octubre de 2020, el Estado manifestó su disposición para clarificar los aspectos controvertidos</w:t>
      </w:r>
      <w:r>
        <w:rPr>
          <w:rFonts w:ascii="Verdana" w:hAnsi="Verdana"/>
          <w:sz w:val="16"/>
          <w:szCs w:val="16"/>
        </w:rPr>
        <w:t xml:space="preserve"> </w:t>
      </w:r>
      <w:r w:rsidRPr="00302701">
        <w:rPr>
          <w:rFonts w:ascii="Verdana" w:hAnsi="Verdana"/>
          <w:sz w:val="16"/>
          <w:szCs w:val="16"/>
        </w:rPr>
        <w:t>de ese peritaje y realizar una reunión virtual con las víctimas, sus representantes y la</w:t>
      </w:r>
      <w:r>
        <w:rPr>
          <w:rFonts w:ascii="Verdana" w:hAnsi="Verdana"/>
          <w:sz w:val="16"/>
          <w:szCs w:val="16"/>
        </w:rPr>
        <w:t xml:space="preserve"> </w:t>
      </w:r>
      <w:r w:rsidRPr="00302701">
        <w:rPr>
          <w:rFonts w:ascii="Verdana" w:hAnsi="Verdana"/>
          <w:sz w:val="16"/>
          <w:szCs w:val="16"/>
        </w:rPr>
        <w:t>organización no gubernamental Equipo Peruano de Antropología Forense. Sin embargo, según</w:t>
      </w:r>
      <w:r>
        <w:rPr>
          <w:rFonts w:ascii="Verdana" w:hAnsi="Verdana"/>
          <w:sz w:val="16"/>
          <w:szCs w:val="16"/>
        </w:rPr>
        <w:t xml:space="preserve"> </w:t>
      </w:r>
      <w:r w:rsidRPr="00302701">
        <w:rPr>
          <w:rFonts w:ascii="Verdana" w:hAnsi="Verdana"/>
          <w:sz w:val="16"/>
          <w:szCs w:val="16"/>
        </w:rPr>
        <w:t>el último escrito presentado por los representantes en mayo de 2021, tal reunión no se habría</w:t>
      </w:r>
      <w:r>
        <w:rPr>
          <w:rFonts w:ascii="Verdana" w:hAnsi="Verdana"/>
          <w:sz w:val="16"/>
          <w:szCs w:val="16"/>
        </w:rPr>
        <w:t xml:space="preserve"> </w:t>
      </w:r>
      <w:r w:rsidRPr="00302701">
        <w:rPr>
          <w:rFonts w:ascii="Verdana" w:hAnsi="Verdana"/>
          <w:sz w:val="16"/>
          <w:szCs w:val="16"/>
        </w:rPr>
        <w:t>concretado. La Corte considera preocupante que hayan transcurrido ocho meses sin que el</w:t>
      </w:r>
      <w:r>
        <w:rPr>
          <w:rFonts w:ascii="Verdana" w:hAnsi="Verdana"/>
          <w:sz w:val="16"/>
          <w:szCs w:val="16"/>
        </w:rPr>
        <w:t xml:space="preserve"> </w:t>
      </w:r>
      <w:r w:rsidRPr="00302701">
        <w:rPr>
          <w:rFonts w:ascii="Verdana" w:hAnsi="Verdana"/>
          <w:sz w:val="16"/>
          <w:szCs w:val="16"/>
        </w:rPr>
        <w:t>Perú haya atendido tal compromiso en un asunto tan importante como lo es la posible</w:t>
      </w:r>
      <w:r>
        <w:rPr>
          <w:rFonts w:ascii="Verdana" w:hAnsi="Verdana"/>
          <w:sz w:val="16"/>
          <w:szCs w:val="16"/>
        </w:rPr>
        <w:t xml:space="preserve"> </w:t>
      </w:r>
      <w:r w:rsidRPr="00302701">
        <w:rPr>
          <w:rFonts w:ascii="Verdana" w:hAnsi="Verdana"/>
          <w:sz w:val="16"/>
          <w:szCs w:val="16"/>
        </w:rPr>
        <w:t>identificación de las víctimas, con el impacto que tal espera e incertidumbre puede generar</w:t>
      </w:r>
      <w:r>
        <w:rPr>
          <w:rFonts w:ascii="Verdana" w:hAnsi="Verdana"/>
          <w:sz w:val="16"/>
          <w:szCs w:val="16"/>
        </w:rPr>
        <w:t xml:space="preserve"> </w:t>
      </w:r>
      <w:r w:rsidRPr="00302701">
        <w:rPr>
          <w:rFonts w:ascii="Verdana" w:hAnsi="Verdana"/>
          <w:sz w:val="16"/>
          <w:szCs w:val="16"/>
        </w:rPr>
        <w:t>en sus familiares. Dicho peritaje efectúa un análisis de ADN de restos óseos recuperados entre</w:t>
      </w:r>
      <w:r>
        <w:rPr>
          <w:rFonts w:ascii="Verdana" w:hAnsi="Verdana"/>
          <w:sz w:val="16"/>
          <w:szCs w:val="16"/>
        </w:rPr>
        <w:t xml:space="preserve"> </w:t>
      </w:r>
      <w:r w:rsidRPr="00302701">
        <w:rPr>
          <w:rFonts w:ascii="Verdana" w:hAnsi="Verdana"/>
          <w:sz w:val="16"/>
          <w:szCs w:val="16"/>
        </w:rPr>
        <w:t>los años 2009 a 2016, de forma tal que los familiares de las víctimas han pasado por un</w:t>
      </w:r>
      <w:r>
        <w:rPr>
          <w:rFonts w:ascii="Verdana" w:hAnsi="Verdana"/>
          <w:sz w:val="16"/>
          <w:szCs w:val="16"/>
        </w:rPr>
        <w:t xml:space="preserve"> </w:t>
      </w:r>
      <w:r w:rsidRPr="00302701">
        <w:rPr>
          <w:rFonts w:ascii="Verdana" w:hAnsi="Verdana"/>
          <w:sz w:val="16"/>
          <w:szCs w:val="16"/>
        </w:rPr>
        <w:t>prolongado proceso de identificación. Es urgente que el Estado fije como una prioridad</w:t>
      </w:r>
      <w:r>
        <w:rPr>
          <w:rFonts w:ascii="Verdana" w:hAnsi="Verdana"/>
          <w:sz w:val="16"/>
          <w:szCs w:val="16"/>
        </w:rPr>
        <w:t xml:space="preserve"> </w:t>
      </w:r>
      <w:r w:rsidRPr="00302701">
        <w:rPr>
          <w:rFonts w:ascii="Verdana" w:hAnsi="Verdana"/>
          <w:sz w:val="16"/>
          <w:szCs w:val="16"/>
        </w:rPr>
        <w:t>inmediata la conclusión del proceso de identificación de tales restos, lo cual incluye garantizar</w:t>
      </w:r>
      <w:r>
        <w:rPr>
          <w:rFonts w:ascii="Verdana" w:hAnsi="Verdana"/>
          <w:sz w:val="16"/>
          <w:szCs w:val="16"/>
        </w:rPr>
        <w:t xml:space="preserve"> </w:t>
      </w:r>
      <w:r w:rsidRPr="00302701">
        <w:rPr>
          <w:rFonts w:ascii="Verdana" w:hAnsi="Verdana"/>
          <w:sz w:val="16"/>
          <w:szCs w:val="16"/>
        </w:rPr>
        <w:t>la calidad del análisis genético y determinar si es posible o no una identificación fehaciente.</w:t>
      </w:r>
      <w:r>
        <w:rPr>
          <w:rFonts w:ascii="Verdana" w:hAnsi="Verdana"/>
          <w:sz w:val="16"/>
          <w:szCs w:val="16"/>
        </w:rPr>
        <w:t xml:space="preserve"> </w:t>
      </w:r>
      <w:r w:rsidRPr="00302701">
        <w:rPr>
          <w:rFonts w:ascii="Verdana" w:hAnsi="Verdana"/>
          <w:sz w:val="16"/>
          <w:szCs w:val="16"/>
        </w:rPr>
        <w:t>Por consiguiente, se requiere al Estado que, en el plazo de dos meses, contados a partir de</w:t>
      </w:r>
      <w:r>
        <w:rPr>
          <w:rFonts w:ascii="Verdana" w:hAnsi="Verdana"/>
          <w:sz w:val="16"/>
          <w:szCs w:val="16"/>
        </w:rPr>
        <w:t xml:space="preserve"> </w:t>
      </w:r>
      <w:r w:rsidRPr="00302701">
        <w:rPr>
          <w:rFonts w:ascii="Verdana" w:hAnsi="Verdana"/>
          <w:sz w:val="16"/>
          <w:szCs w:val="16"/>
        </w:rPr>
        <w:t>la notificación de esta Resolución, efectúe la referida reunión virtual.</w:t>
      </w:r>
    </w:p>
    <w:p w:rsidR="00302701" w:rsidRPr="00302701" w:rsidRDefault="00302701" w:rsidP="00302701">
      <w:pPr>
        <w:pStyle w:val="Prrafodelista"/>
        <w:ind w:left="1134"/>
        <w:jc w:val="both"/>
        <w:rPr>
          <w:rFonts w:ascii="Verdana" w:hAnsi="Verdana"/>
          <w:sz w:val="16"/>
          <w:szCs w:val="16"/>
        </w:rPr>
      </w:pPr>
    </w:p>
    <w:p w:rsidR="00302701" w:rsidRPr="00302701" w:rsidRDefault="00302701" w:rsidP="00302701">
      <w:pPr>
        <w:pStyle w:val="Prrafodelista"/>
        <w:ind w:left="1134"/>
        <w:jc w:val="both"/>
        <w:rPr>
          <w:rFonts w:ascii="Verdana" w:hAnsi="Verdana"/>
          <w:sz w:val="16"/>
          <w:szCs w:val="16"/>
        </w:rPr>
      </w:pPr>
      <w:r w:rsidRPr="00302701">
        <w:rPr>
          <w:rFonts w:ascii="Verdana" w:hAnsi="Verdana"/>
          <w:sz w:val="16"/>
          <w:szCs w:val="16"/>
        </w:rPr>
        <w:t>31. En cuanto a los obstáculos alegados por los representan</w:t>
      </w:r>
      <w:r>
        <w:rPr>
          <w:rFonts w:ascii="Verdana" w:hAnsi="Verdana"/>
          <w:sz w:val="16"/>
          <w:szCs w:val="16"/>
        </w:rPr>
        <w:t xml:space="preserve">tes respecto a la participación </w:t>
      </w:r>
      <w:r w:rsidRPr="00302701">
        <w:rPr>
          <w:rFonts w:ascii="Verdana" w:hAnsi="Verdana"/>
          <w:sz w:val="16"/>
          <w:szCs w:val="16"/>
        </w:rPr>
        <w:t>y comunicación con los familiares (supra Considerando 29), el Estado afirmó en informes de</w:t>
      </w:r>
      <w:r>
        <w:rPr>
          <w:rFonts w:ascii="Verdana" w:hAnsi="Verdana"/>
          <w:sz w:val="16"/>
          <w:szCs w:val="16"/>
        </w:rPr>
        <w:t xml:space="preserve"> </w:t>
      </w:r>
      <w:r w:rsidRPr="00302701">
        <w:rPr>
          <w:rFonts w:ascii="Verdana" w:hAnsi="Verdana"/>
          <w:sz w:val="16"/>
          <w:szCs w:val="16"/>
        </w:rPr>
        <w:t xml:space="preserve">2018 y 2019 </w:t>
      </w:r>
      <w:r w:rsidRPr="00302701">
        <w:rPr>
          <w:rFonts w:ascii="Verdana" w:hAnsi="Verdana"/>
          <w:sz w:val="16"/>
          <w:szCs w:val="16"/>
        </w:rPr>
        <w:lastRenderedPageBreak/>
        <w:t>que los representantes y familiares “han tenido una constante participación en</w:t>
      </w:r>
      <w:r>
        <w:rPr>
          <w:rFonts w:ascii="Verdana" w:hAnsi="Verdana"/>
          <w:sz w:val="16"/>
          <w:szCs w:val="16"/>
        </w:rPr>
        <w:t xml:space="preserve"> </w:t>
      </w:r>
      <w:r w:rsidRPr="00302701">
        <w:rPr>
          <w:rFonts w:ascii="Verdana" w:hAnsi="Verdana"/>
          <w:sz w:val="16"/>
          <w:szCs w:val="16"/>
        </w:rPr>
        <w:t>las diligencias […] llevadas a cabo por el equipo forense de Medicina Legal del Ministerio</w:t>
      </w:r>
      <w:r>
        <w:rPr>
          <w:rFonts w:ascii="Verdana" w:hAnsi="Verdana"/>
          <w:sz w:val="16"/>
          <w:szCs w:val="16"/>
        </w:rPr>
        <w:t xml:space="preserve"> </w:t>
      </w:r>
      <w:r w:rsidRPr="00302701">
        <w:rPr>
          <w:rFonts w:ascii="Verdana" w:hAnsi="Verdana"/>
          <w:sz w:val="16"/>
          <w:szCs w:val="16"/>
        </w:rPr>
        <w:t>Público”. Aun cuando de la información aportada por el Estado es posible confirmar la</w:t>
      </w:r>
      <w:r>
        <w:rPr>
          <w:rFonts w:ascii="Verdana" w:hAnsi="Verdana"/>
          <w:sz w:val="16"/>
          <w:szCs w:val="16"/>
        </w:rPr>
        <w:t xml:space="preserve"> </w:t>
      </w:r>
      <w:r w:rsidRPr="00302701">
        <w:rPr>
          <w:rFonts w:ascii="Verdana" w:hAnsi="Verdana"/>
          <w:sz w:val="16"/>
          <w:szCs w:val="16"/>
        </w:rPr>
        <w:t>participación de algunos familiares en diversas diligencias, la Corte considera necesario que</w:t>
      </w:r>
      <w:r>
        <w:rPr>
          <w:rFonts w:ascii="Verdana" w:hAnsi="Verdana"/>
          <w:sz w:val="16"/>
          <w:szCs w:val="16"/>
        </w:rPr>
        <w:t xml:space="preserve"> </w:t>
      </w:r>
      <w:r w:rsidRPr="00302701">
        <w:rPr>
          <w:rFonts w:ascii="Verdana" w:hAnsi="Verdana"/>
          <w:sz w:val="16"/>
          <w:szCs w:val="16"/>
        </w:rPr>
        <w:t>las autoridades estatales examinen si la comunicación ha sido adecuada y oportuna y efectúen</w:t>
      </w:r>
      <w:r>
        <w:rPr>
          <w:rFonts w:ascii="Verdana" w:hAnsi="Verdana"/>
          <w:sz w:val="16"/>
          <w:szCs w:val="16"/>
        </w:rPr>
        <w:t xml:space="preserve"> </w:t>
      </w:r>
      <w:r w:rsidRPr="00302701">
        <w:rPr>
          <w:rFonts w:ascii="Verdana" w:hAnsi="Verdana"/>
          <w:sz w:val="16"/>
          <w:szCs w:val="16"/>
        </w:rPr>
        <w:t>las mejoras que sean necesarias para lo que resta del proceso de búsqueda e identificación,</w:t>
      </w:r>
      <w:r>
        <w:rPr>
          <w:rFonts w:ascii="Verdana" w:hAnsi="Verdana"/>
          <w:sz w:val="16"/>
          <w:szCs w:val="16"/>
        </w:rPr>
        <w:t xml:space="preserve"> </w:t>
      </w:r>
      <w:r w:rsidRPr="00302701">
        <w:rPr>
          <w:rFonts w:ascii="Verdana" w:hAnsi="Verdana"/>
          <w:sz w:val="16"/>
          <w:szCs w:val="16"/>
        </w:rPr>
        <w:t>fundamentalmente que efectúen una reunión de la forma más pronta posible respecto a los</w:t>
      </w:r>
      <w:r>
        <w:rPr>
          <w:rFonts w:ascii="Verdana" w:hAnsi="Verdana"/>
          <w:sz w:val="16"/>
          <w:szCs w:val="16"/>
        </w:rPr>
        <w:t xml:space="preserve"> </w:t>
      </w:r>
      <w:r w:rsidRPr="00302701">
        <w:rPr>
          <w:rFonts w:ascii="Verdana" w:hAnsi="Verdana"/>
          <w:sz w:val="16"/>
          <w:szCs w:val="16"/>
        </w:rPr>
        <w:t>cuestionamientos del peritaje de análisis genético (supra Considerando 30).</w:t>
      </w:r>
    </w:p>
    <w:p w:rsidR="00302701" w:rsidRPr="00302701" w:rsidRDefault="00302701" w:rsidP="00302701">
      <w:pPr>
        <w:pStyle w:val="Prrafodelista"/>
        <w:ind w:left="1134"/>
        <w:jc w:val="both"/>
        <w:rPr>
          <w:rFonts w:ascii="Verdana" w:hAnsi="Verdana"/>
          <w:sz w:val="16"/>
          <w:szCs w:val="16"/>
        </w:rPr>
      </w:pPr>
    </w:p>
    <w:p w:rsidR="00302701" w:rsidRPr="00302701" w:rsidRDefault="00302701" w:rsidP="00302701">
      <w:pPr>
        <w:pStyle w:val="Prrafodelista"/>
        <w:ind w:left="1134"/>
        <w:jc w:val="both"/>
        <w:rPr>
          <w:rFonts w:ascii="Verdana" w:hAnsi="Verdana"/>
          <w:sz w:val="16"/>
          <w:szCs w:val="16"/>
        </w:rPr>
      </w:pPr>
      <w:r w:rsidRPr="00302701">
        <w:rPr>
          <w:rFonts w:ascii="Verdana" w:hAnsi="Verdana"/>
          <w:sz w:val="16"/>
          <w:szCs w:val="16"/>
        </w:rPr>
        <w:t>32. La Corte también requiere al Estado que se refier</w:t>
      </w:r>
      <w:r>
        <w:rPr>
          <w:rFonts w:ascii="Verdana" w:hAnsi="Verdana"/>
          <w:sz w:val="16"/>
          <w:szCs w:val="16"/>
        </w:rPr>
        <w:t xml:space="preserve">a a las otras objeciones de los </w:t>
      </w:r>
      <w:r w:rsidRPr="00302701">
        <w:rPr>
          <w:rFonts w:ascii="Verdana" w:hAnsi="Verdana"/>
          <w:sz w:val="16"/>
          <w:szCs w:val="16"/>
        </w:rPr>
        <w:t>representantes de las víctimas relativas a que resulta necesario que brinde el apoyo oficial</w:t>
      </w:r>
      <w:r>
        <w:rPr>
          <w:rFonts w:ascii="Verdana" w:hAnsi="Verdana"/>
          <w:sz w:val="16"/>
          <w:szCs w:val="16"/>
        </w:rPr>
        <w:t xml:space="preserve"> </w:t>
      </w:r>
      <w:r w:rsidRPr="00302701">
        <w:rPr>
          <w:rFonts w:ascii="Verdana" w:hAnsi="Verdana"/>
          <w:sz w:val="16"/>
          <w:szCs w:val="16"/>
        </w:rPr>
        <w:t>para que se realicen diligencias de búsqueda en otros sitios distintos a la referida mina, con</w:t>
      </w:r>
      <w:r>
        <w:rPr>
          <w:rFonts w:ascii="Verdana" w:hAnsi="Verdana"/>
          <w:sz w:val="16"/>
          <w:szCs w:val="16"/>
        </w:rPr>
        <w:t xml:space="preserve"> </w:t>
      </w:r>
      <w:r w:rsidRPr="00302701">
        <w:rPr>
          <w:rFonts w:ascii="Verdana" w:hAnsi="Verdana"/>
          <w:sz w:val="16"/>
          <w:szCs w:val="16"/>
        </w:rPr>
        <w:t>base en la información obtenida en los procesos penales y lo ordenado judicialmente en uno</w:t>
      </w:r>
      <w:r>
        <w:rPr>
          <w:rFonts w:ascii="Verdana" w:hAnsi="Verdana"/>
          <w:sz w:val="16"/>
          <w:szCs w:val="16"/>
        </w:rPr>
        <w:t xml:space="preserve"> </w:t>
      </w:r>
      <w:r w:rsidRPr="00302701">
        <w:rPr>
          <w:rFonts w:ascii="Verdana" w:hAnsi="Verdana"/>
          <w:sz w:val="16"/>
          <w:szCs w:val="16"/>
        </w:rPr>
        <w:t>de esos procesos, así como a que no se cuenta “con un certificado de defunción o de ausencia</w:t>
      </w:r>
      <w:r>
        <w:rPr>
          <w:rFonts w:ascii="Verdana" w:hAnsi="Verdana"/>
          <w:sz w:val="16"/>
          <w:szCs w:val="16"/>
        </w:rPr>
        <w:t xml:space="preserve"> </w:t>
      </w:r>
      <w:r w:rsidRPr="00302701">
        <w:rPr>
          <w:rFonts w:ascii="Verdana" w:hAnsi="Verdana"/>
          <w:sz w:val="16"/>
          <w:szCs w:val="16"/>
        </w:rPr>
        <w:t>por desaparición forzada” de las víctimas (supra Considerando 29).</w:t>
      </w:r>
      <w:r w:rsidRPr="00302701">
        <w:rPr>
          <w:rFonts w:ascii="Verdana" w:hAnsi="Verdana"/>
          <w:sz w:val="16"/>
          <w:szCs w:val="16"/>
        </w:rPr>
        <w:cr/>
      </w:r>
    </w:p>
    <w:p w:rsidR="00302701" w:rsidRPr="00302701" w:rsidRDefault="00302701" w:rsidP="00302701">
      <w:pPr>
        <w:pStyle w:val="Prrafodelista"/>
        <w:ind w:left="1134"/>
        <w:jc w:val="both"/>
        <w:rPr>
          <w:rFonts w:ascii="Verdana" w:hAnsi="Verdana"/>
          <w:sz w:val="16"/>
          <w:szCs w:val="16"/>
        </w:rPr>
      </w:pPr>
      <w:r w:rsidRPr="00302701">
        <w:rPr>
          <w:rFonts w:ascii="Verdana" w:hAnsi="Verdana"/>
          <w:sz w:val="16"/>
          <w:szCs w:val="16"/>
        </w:rPr>
        <w:t>34. En conclusión, la Corte valora como positivo que, co</w:t>
      </w:r>
      <w:r>
        <w:rPr>
          <w:rFonts w:ascii="Verdana" w:hAnsi="Verdana"/>
          <w:sz w:val="16"/>
          <w:szCs w:val="16"/>
        </w:rPr>
        <w:t xml:space="preserve">n posterioridad a la Sentencia, </w:t>
      </w:r>
      <w:r w:rsidRPr="00302701">
        <w:rPr>
          <w:rFonts w:ascii="Verdana" w:hAnsi="Verdana"/>
          <w:sz w:val="16"/>
          <w:szCs w:val="16"/>
        </w:rPr>
        <w:t>entre los años 2016 y 2020 (supra Considerandos 28 y 33), el Perú realizó diligencias</w:t>
      </w:r>
      <w:r>
        <w:rPr>
          <w:rFonts w:ascii="Verdana" w:hAnsi="Verdana"/>
          <w:sz w:val="16"/>
          <w:szCs w:val="16"/>
        </w:rPr>
        <w:t xml:space="preserve"> </w:t>
      </w:r>
      <w:r w:rsidRPr="00302701">
        <w:rPr>
          <w:rFonts w:ascii="Verdana" w:hAnsi="Verdana"/>
          <w:sz w:val="16"/>
          <w:szCs w:val="16"/>
        </w:rPr>
        <w:t>específicas con el fin de dar cumplimiento a la medida en este caso, tanto en el marco de la</w:t>
      </w:r>
      <w:r w:rsidRPr="00302701">
        <w:rPr>
          <w:rFonts w:ascii="Verdana" w:hAnsi="Verdana"/>
          <w:sz w:val="16"/>
          <w:szCs w:val="16"/>
        </w:rPr>
        <w:t xml:space="preserve"> </w:t>
      </w:r>
      <w:r w:rsidRPr="00302701">
        <w:rPr>
          <w:rFonts w:ascii="Verdana" w:hAnsi="Verdana"/>
          <w:sz w:val="16"/>
          <w:szCs w:val="16"/>
        </w:rPr>
        <w:t>investigación penal (efectuada por el Ministerio Público y con la actuación de profesionales</w:t>
      </w:r>
      <w:r>
        <w:rPr>
          <w:rFonts w:ascii="Verdana" w:hAnsi="Verdana"/>
          <w:sz w:val="16"/>
          <w:szCs w:val="16"/>
        </w:rPr>
        <w:t xml:space="preserve"> </w:t>
      </w:r>
      <w:r w:rsidRPr="00302701">
        <w:rPr>
          <w:rFonts w:ascii="Verdana" w:hAnsi="Verdana"/>
          <w:sz w:val="16"/>
          <w:szCs w:val="16"/>
        </w:rPr>
        <w:t>del Equipo Forense Especializado del Instituto de Medicina Legal y Ciencias Forenses de dicho</w:t>
      </w:r>
      <w:r>
        <w:rPr>
          <w:rFonts w:ascii="Verdana" w:hAnsi="Verdana"/>
          <w:sz w:val="16"/>
          <w:szCs w:val="16"/>
        </w:rPr>
        <w:t xml:space="preserve"> </w:t>
      </w:r>
      <w:r w:rsidRPr="00302701">
        <w:rPr>
          <w:rFonts w:ascii="Verdana" w:hAnsi="Verdana"/>
          <w:sz w:val="16"/>
          <w:szCs w:val="16"/>
        </w:rPr>
        <w:t>ministerio) como también a través de la intervención y acompañamiento psicosocial de la</w:t>
      </w:r>
      <w:r>
        <w:rPr>
          <w:rFonts w:ascii="Verdana" w:hAnsi="Verdana"/>
          <w:sz w:val="16"/>
          <w:szCs w:val="16"/>
        </w:rPr>
        <w:t xml:space="preserve"> </w:t>
      </w:r>
      <w:r w:rsidRPr="00302701">
        <w:rPr>
          <w:rFonts w:ascii="Verdana" w:hAnsi="Verdana"/>
          <w:sz w:val="16"/>
          <w:szCs w:val="16"/>
        </w:rPr>
        <w:t>Dirección General de Búsqueda de Personas Desaparecidas adscrita al Ministerio de Justicia y</w:t>
      </w:r>
      <w:r>
        <w:rPr>
          <w:rFonts w:ascii="Verdana" w:hAnsi="Verdana"/>
          <w:sz w:val="16"/>
          <w:szCs w:val="16"/>
        </w:rPr>
        <w:t xml:space="preserve"> </w:t>
      </w:r>
      <w:r w:rsidRPr="00302701">
        <w:rPr>
          <w:rFonts w:ascii="Verdana" w:hAnsi="Verdana"/>
          <w:sz w:val="16"/>
          <w:szCs w:val="16"/>
        </w:rPr>
        <w:t>Derechos Humanos. Dichas acciones reflejan un importante avance y voluntad de dar</w:t>
      </w:r>
      <w:r>
        <w:rPr>
          <w:rFonts w:ascii="Verdana" w:hAnsi="Verdana"/>
          <w:sz w:val="16"/>
          <w:szCs w:val="16"/>
        </w:rPr>
        <w:t xml:space="preserve"> </w:t>
      </w:r>
      <w:r w:rsidRPr="00302701">
        <w:rPr>
          <w:rFonts w:ascii="Verdana" w:hAnsi="Verdana"/>
          <w:sz w:val="16"/>
          <w:szCs w:val="16"/>
        </w:rPr>
        <w:t>cumplimiento a la presente medida de reparación. En particular, se destaca la recuperación</w:t>
      </w:r>
      <w:r>
        <w:rPr>
          <w:rFonts w:ascii="Verdana" w:hAnsi="Verdana"/>
          <w:sz w:val="16"/>
          <w:szCs w:val="16"/>
        </w:rPr>
        <w:t xml:space="preserve"> </w:t>
      </w:r>
      <w:r w:rsidRPr="00302701">
        <w:rPr>
          <w:rFonts w:ascii="Verdana" w:hAnsi="Verdana"/>
          <w:sz w:val="16"/>
          <w:szCs w:val="16"/>
        </w:rPr>
        <w:t>de restos óseos y otros objetos en la Mina ‘Misteriosa’ o ‘</w:t>
      </w:r>
      <w:proofErr w:type="spellStart"/>
      <w:r w:rsidRPr="00302701">
        <w:rPr>
          <w:rFonts w:ascii="Verdana" w:hAnsi="Verdana"/>
          <w:sz w:val="16"/>
          <w:szCs w:val="16"/>
        </w:rPr>
        <w:t>Vallarón</w:t>
      </w:r>
      <w:proofErr w:type="spellEnd"/>
      <w:r w:rsidRPr="00302701">
        <w:rPr>
          <w:rFonts w:ascii="Verdana" w:hAnsi="Verdana"/>
          <w:sz w:val="16"/>
          <w:szCs w:val="16"/>
        </w:rPr>
        <w:t>’, el análisis efectuado por</w:t>
      </w:r>
      <w:r>
        <w:rPr>
          <w:rFonts w:ascii="Verdana" w:hAnsi="Verdana"/>
          <w:sz w:val="16"/>
          <w:szCs w:val="16"/>
        </w:rPr>
        <w:t xml:space="preserve"> </w:t>
      </w:r>
      <w:r w:rsidRPr="00302701">
        <w:rPr>
          <w:rFonts w:ascii="Verdana" w:hAnsi="Verdana"/>
          <w:sz w:val="16"/>
          <w:szCs w:val="16"/>
        </w:rPr>
        <w:t>profesionales del Equipo Forense Especializado de los restos óseos y prendas recuperados</w:t>
      </w:r>
      <w:r>
        <w:rPr>
          <w:rFonts w:ascii="Verdana" w:hAnsi="Verdana"/>
          <w:sz w:val="16"/>
          <w:szCs w:val="16"/>
        </w:rPr>
        <w:t xml:space="preserve"> </w:t>
      </w:r>
      <w:r w:rsidRPr="00302701">
        <w:rPr>
          <w:rFonts w:ascii="Verdana" w:hAnsi="Verdana"/>
          <w:sz w:val="16"/>
          <w:szCs w:val="16"/>
        </w:rPr>
        <w:t>antes y después de la Sentencia, la identificación de la víctima Magdalena Hilario Quispe, y el</w:t>
      </w:r>
      <w:r>
        <w:rPr>
          <w:rFonts w:ascii="Verdana" w:hAnsi="Verdana"/>
          <w:sz w:val="16"/>
          <w:szCs w:val="16"/>
        </w:rPr>
        <w:t xml:space="preserve"> </w:t>
      </w:r>
      <w:r w:rsidRPr="00302701">
        <w:rPr>
          <w:rFonts w:ascii="Verdana" w:hAnsi="Verdana"/>
          <w:sz w:val="16"/>
          <w:szCs w:val="16"/>
        </w:rPr>
        <w:t>efecto simbólico y reparador de la ceremonia en la cual se entregaron una parte de los restos</w:t>
      </w:r>
      <w:r>
        <w:rPr>
          <w:rFonts w:ascii="Verdana" w:hAnsi="Verdana"/>
          <w:sz w:val="16"/>
          <w:szCs w:val="16"/>
        </w:rPr>
        <w:t xml:space="preserve"> </w:t>
      </w:r>
      <w:r w:rsidRPr="00302701">
        <w:rPr>
          <w:rFonts w:ascii="Verdana" w:hAnsi="Verdana"/>
          <w:sz w:val="16"/>
          <w:szCs w:val="16"/>
        </w:rPr>
        <w:t>óseos y prendas a los familiares de las víctimas. En consecuencia, la Corte considera que el</w:t>
      </w:r>
      <w:r>
        <w:rPr>
          <w:rFonts w:ascii="Verdana" w:hAnsi="Verdana"/>
          <w:sz w:val="16"/>
          <w:szCs w:val="16"/>
        </w:rPr>
        <w:t xml:space="preserve"> </w:t>
      </w:r>
      <w:r w:rsidRPr="00302701">
        <w:rPr>
          <w:rFonts w:ascii="Verdana" w:hAnsi="Verdana"/>
          <w:sz w:val="16"/>
          <w:szCs w:val="16"/>
        </w:rPr>
        <w:t>Estado ha dado cumplimiento parcial a la medida ordenada en el punto resolutivo décimo</w:t>
      </w:r>
      <w:r>
        <w:rPr>
          <w:rFonts w:ascii="Verdana" w:hAnsi="Verdana"/>
          <w:sz w:val="16"/>
          <w:szCs w:val="16"/>
        </w:rPr>
        <w:t xml:space="preserve"> </w:t>
      </w:r>
      <w:r w:rsidRPr="00302701">
        <w:rPr>
          <w:rFonts w:ascii="Verdana" w:hAnsi="Verdana"/>
          <w:sz w:val="16"/>
          <w:szCs w:val="16"/>
        </w:rPr>
        <w:t>primero de la Sentencia y, por las razones indicadas en los Considerandos 30 a 32 de la</w:t>
      </w:r>
      <w:r>
        <w:rPr>
          <w:rFonts w:ascii="Verdana" w:hAnsi="Verdana"/>
          <w:sz w:val="16"/>
          <w:szCs w:val="16"/>
        </w:rPr>
        <w:t xml:space="preserve"> </w:t>
      </w:r>
      <w:r w:rsidRPr="00302701">
        <w:rPr>
          <w:rFonts w:ascii="Verdana" w:hAnsi="Verdana"/>
          <w:sz w:val="16"/>
          <w:szCs w:val="16"/>
        </w:rPr>
        <w:t>presente Resolución, debe continuar implementando esta medida y aportar al Tribunal</w:t>
      </w:r>
      <w:r>
        <w:rPr>
          <w:rFonts w:ascii="Verdana" w:hAnsi="Verdana"/>
          <w:sz w:val="16"/>
          <w:szCs w:val="16"/>
        </w:rPr>
        <w:t xml:space="preserve"> </w:t>
      </w:r>
      <w:r w:rsidRPr="00302701">
        <w:rPr>
          <w:rFonts w:ascii="Verdana" w:hAnsi="Verdana"/>
          <w:sz w:val="16"/>
          <w:szCs w:val="16"/>
        </w:rPr>
        <w:t>información detallada y actualizada sobre su ejecución y sobre los aspectos solicitados en</w:t>
      </w:r>
      <w:r>
        <w:rPr>
          <w:rFonts w:ascii="Verdana" w:hAnsi="Verdana"/>
          <w:sz w:val="16"/>
          <w:szCs w:val="16"/>
        </w:rPr>
        <w:t xml:space="preserve"> </w:t>
      </w:r>
      <w:r w:rsidRPr="00302701">
        <w:rPr>
          <w:rFonts w:ascii="Verdana" w:hAnsi="Verdana"/>
          <w:sz w:val="16"/>
          <w:szCs w:val="16"/>
        </w:rPr>
        <w:t>dichos párrafos.</w:t>
      </w:r>
    </w:p>
    <w:p w:rsidR="00845A39" w:rsidRDefault="00845A39" w:rsidP="00302701">
      <w:pPr>
        <w:ind w:left="1134"/>
      </w:pPr>
    </w:p>
    <w:sectPr w:rsidR="00845A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CC" w:rsidRDefault="001C2FCC">
      <w:r>
        <w:separator/>
      </w:r>
    </w:p>
  </w:endnote>
  <w:endnote w:type="continuationSeparator" w:id="0">
    <w:p w:rsidR="001C2FCC" w:rsidRDefault="001C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24" w:rsidRPr="009B6E42" w:rsidRDefault="00A73E79"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72124" w:rsidRPr="00972124" w:rsidRDefault="001C2FC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CC" w:rsidRDefault="001C2FCC">
      <w:r>
        <w:separator/>
      </w:r>
    </w:p>
  </w:footnote>
  <w:footnote w:type="continuationSeparator" w:id="0">
    <w:p w:rsidR="001C2FCC" w:rsidRDefault="001C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rPr>
    </w:sdtEndPr>
    <w:sdtContent>
      <w:p w:rsidR="0015679C" w:rsidRPr="00675FE7" w:rsidRDefault="00A73E79"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302701">
          <w:rPr>
            <w:rFonts w:ascii="Verdana" w:hAnsi="Verdana"/>
            <w:noProof/>
          </w:rPr>
          <w:t>2</w:t>
        </w:r>
        <w:r w:rsidRPr="00675FE7">
          <w:rPr>
            <w:rFonts w:ascii="Verdana" w:hAnsi="Verdana"/>
            <w:noProof/>
          </w:rPr>
          <w:fldChar w:fldCharType="end"/>
        </w:r>
      </w:p>
    </w:sdtContent>
  </w:sdt>
  <w:p w:rsidR="0015679C" w:rsidRDefault="001C2F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AD4"/>
    <w:multiLevelType w:val="hybridMultilevel"/>
    <w:tmpl w:val="8238272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A3B3047"/>
    <w:multiLevelType w:val="hybridMultilevel"/>
    <w:tmpl w:val="7A08098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1E2109"/>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552CD"/>
    <w:multiLevelType w:val="hybridMultilevel"/>
    <w:tmpl w:val="B02C0AB0"/>
    <w:lvl w:ilvl="0" w:tplc="140A000F">
      <w:start w:val="1"/>
      <w:numFmt w:val="decimal"/>
      <w:lvlText w:val="%1."/>
      <w:lvlJc w:val="left"/>
      <w:pPr>
        <w:ind w:left="720" w:hanging="360"/>
      </w:pPr>
      <w:rPr>
        <w:rFonts w:hint="default"/>
        <w:b w:val="0"/>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E4F6051"/>
    <w:multiLevelType w:val="hybridMultilevel"/>
    <w:tmpl w:val="11286D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79"/>
    <w:rsid w:val="00146847"/>
    <w:rsid w:val="0017407A"/>
    <w:rsid w:val="001C2FCC"/>
    <w:rsid w:val="001C4A5B"/>
    <w:rsid w:val="002F2F8B"/>
    <w:rsid w:val="003009CE"/>
    <w:rsid w:val="00302701"/>
    <w:rsid w:val="00493C17"/>
    <w:rsid w:val="00537679"/>
    <w:rsid w:val="006D6B13"/>
    <w:rsid w:val="0071339A"/>
    <w:rsid w:val="00742BD2"/>
    <w:rsid w:val="007828CB"/>
    <w:rsid w:val="007C4144"/>
    <w:rsid w:val="00801A44"/>
    <w:rsid w:val="00845A39"/>
    <w:rsid w:val="008714D8"/>
    <w:rsid w:val="00906660"/>
    <w:rsid w:val="0092283F"/>
    <w:rsid w:val="00A16C6F"/>
    <w:rsid w:val="00A73E79"/>
    <w:rsid w:val="00A85FFA"/>
    <w:rsid w:val="00AE1E1F"/>
    <w:rsid w:val="00AE222C"/>
    <w:rsid w:val="00B94606"/>
    <w:rsid w:val="00CB4D9C"/>
    <w:rsid w:val="00CC13DE"/>
    <w:rsid w:val="00E7061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34F5"/>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CB4D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D9C"/>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5</cp:revision>
  <dcterms:created xsi:type="dcterms:W3CDTF">2021-11-01T15:24:00Z</dcterms:created>
  <dcterms:modified xsi:type="dcterms:W3CDTF">2021-11-01T21:59:00Z</dcterms:modified>
</cp:coreProperties>
</file>